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30A21" w:rsidRDefault="00F92268" w:rsidP="00850792">
      <w:pPr>
        <w:pStyle w:val="BodyText"/>
        <w:rPr>
          <w:sz w:val="6"/>
          <w:szCs w:val="6"/>
        </w:rPr>
      </w:pPr>
      <w:r w:rsidRPr="00B30A2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30A2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30A21" w:rsidRDefault="00F92268" w:rsidP="00F246C7">
            <w:pPr>
              <w:pStyle w:val="RefTableData"/>
            </w:pPr>
            <w:r w:rsidRPr="00B30A21">
              <w:t>Reference number(s)</w:t>
            </w:r>
          </w:p>
        </w:tc>
      </w:tr>
      <w:tr w:rsidR="00F92268" w:rsidRPr="00B30A2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9E3726A" w:rsidR="00F92268" w:rsidRPr="00B30A21" w:rsidRDefault="004E2D46" w:rsidP="00F246C7">
            <w:pPr>
              <w:pStyle w:val="RefTableHeader"/>
            </w:pPr>
            <w:r w:rsidRPr="00B30A21">
              <w:t>3411</w:t>
            </w:r>
            <w:r w:rsidR="001061EB">
              <w:t>-</w:t>
            </w:r>
            <w:r w:rsidRPr="00B30A21">
              <w:t>A</w:t>
            </w:r>
          </w:p>
        </w:tc>
      </w:tr>
    </w:tbl>
    <w:p w14:paraId="74FBA5B4" w14:textId="77777777" w:rsidR="00051356" w:rsidRPr="00B30A21" w:rsidRDefault="00051356" w:rsidP="00A672B3">
      <w:pPr>
        <w:pStyle w:val="BodyText"/>
        <w:rPr>
          <w:b/>
          <w:bCs/>
          <w:sz w:val="16"/>
          <w:szCs w:val="16"/>
        </w:rPr>
        <w:sectPr w:rsidR="00051356" w:rsidRPr="00B30A21"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326BD76A" w:rsidR="004B15BB" w:rsidRPr="00B30A21" w:rsidRDefault="004E2D46" w:rsidP="007E5C16">
      <w:pPr>
        <w:pStyle w:val="Heading1"/>
      </w:pPr>
      <w:r w:rsidRPr="00B30A21">
        <w:t>Specialty Guideline Management</w:t>
      </w:r>
      <w:r w:rsidR="008C54D9" w:rsidRPr="00B30A21">
        <w:br/>
      </w:r>
      <w:proofErr w:type="spellStart"/>
      <w:r w:rsidRPr="00B30A21">
        <w:t>Brukinsa</w:t>
      </w:r>
      <w:proofErr w:type="spellEnd"/>
    </w:p>
    <w:p w14:paraId="78861C92" w14:textId="045C059E" w:rsidR="00203468" w:rsidRPr="00B30A21" w:rsidRDefault="00C64534" w:rsidP="008E0F0D">
      <w:pPr>
        <w:pStyle w:val="Heading2"/>
      </w:pPr>
      <w:r w:rsidRPr="00B30A21">
        <w:t xml:space="preserve">Products Referenced by this </w:t>
      </w:r>
      <w:r w:rsidR="00501602" w:rsidRPr="00B30A21">
        <w:t>Document</w:t>
      </w:r>
      <w:r w:rsidR="0026796B" w:rsidRPr="00B30A21">
        <w:t xml:space="preserve"> </w:t>
      </w:r>
    </w:p>
    <w:p w14:paraId="07868740" w14:textId="5A54194A" w:rsidR="00725714" w:rsidRPr="00B30A21" w:rsidRDefault="00D82D85" w:rsidP="004E2D46">
      <w:pPr>
        <w:pStyle w:val="BodyText"/>
      </w:pPr>
      <w:r w:rsidRPr="00B30A21">
        <w:t xml:space="preserve">Drugs that are listed in the </w:t>
      </w:r>
      <w:r w:rsidR="000315F1" w:rsidRPr="00B30A21">
        <w:t>following table</w:t>
      </w:r>
      <w:r w:rsidRPr="00B30A21">
        <w:t xml:space="preserve"> include both brand and generic and all dosage forms and strengths unless otherwise stated. </w:t>
      </w:r>
      <w:r w:rsidR="00895DFB">
        <w:rPr>
          <w:rStyle w:val="ui-provider"/>
        </w:rPr>
        <w:t>Over-the-counter (OTC)</w:t>
      </w:r>
      <w:r w:rsidRPr="00B30A2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7A8C" w:rsidRPr="00B30A21" w14:paraId="057AAA89" w14:textId="77777777">
        <w:trPr>
          <w:cantSplit/>
          <w:trHeight w:val="288"/>
          <w:tblHeader/>
        </w:trPr>
        <w:tc>
          <w:tcPr>
            <w:tcW w:w="5265" w:type="dxa"/>
            <w:vAlign w:val="center"/>
          </w:tcPr>
          <w:p w14:paraId="6CBFE1BD" w14:textId="77777777" w:rsidR="005B4D7C" w:rsidRPr="00B30A21" w:rsidRDefault="005B4D7C">
            <w:pPr>
              <w:pStyle w:val="TableHeader"/>
            </w:pPr>
            <w:r w:rsidRPr="00B30A21">
              <w:t>Brand Name</w:t>
            </w:r>
          </w:p>
        </w:tc>
        <w:tc>
          <w:tcPr>
            <w:tcW w:w="5595" w:type="dxa"/>
            <w:vAlign w:val="center"/>
          </w:tcPr>
          <w:p w14:paraId="18440B85" w14:textId="77777777" w:rsidR="005B4D7C" w:rsidRPr="00B30A21" w:rsidRDefault="005B4D7C">
            <w:pPr>
              <w:pStyle w:val="TableHeader"/>
            </w:pPr>
            <w:r w:rsidRPr="00B30A21">
              <w:t>Generic Name</w:t>
            </w:r>
          </w:p>
        </w:tc>
      </w:tr>
      <w:tr w:rsidR="00257A8C" w:rsidRPr="00B30A21" w14:paraId="7742B1EC" w14:textId="77777777">
        <w:trPr>
          <w:cantSplit/>
        </w:trPr>
        <w:tc>
          <w:tcPr>
            <w:tcW w:w="5265" w:type="dxa"/>
          </w:tcPr>
          <w:p w14:paraId="4DED0C9B" w14:textId="7E78C36A" w:rsidR="005B4D7C" w:rsidRPr="00B30A21" w:rsidRDefault="004E2D46">
            <w:pPr>
              <w:pStyle w:val="TableDataUnpadded"/>
            </w:pPr>
            <w:r w:rsidRPr="00B30A21">
              <w:t>Brukinsa</w:t>
            </w:r>
          </w:p>
        </w:tc>
        <w:tc>
          <w:tcPr>
            <w:tcW w:w="5595" w:type="dxa"/>
          </w:tcPr>
          <w:p w14:paraId="1A09710D" w14:textId="72D6BA9A" w:rsidR="005B4D7C" w:rsidRPr="00B30A21" w:rsidRDefault="004E2D46">
            <w:pPr>
              <w:pStyle w:val="TableDataUnpadded"/>
            </w:pPr>
            <w:proofErr w:type="spellStart"/>
            <w:r w:rsidRPr="00B30A21">
              <w:t>zanubrutinib</w:t>
            </w:r>
            <w:proofErr w:type="spellEnd"/>
          </w:p>
        </w:tc>
      </w:tr>
    </w:tbl>
    <w:p w14:paraId="14CE6108" w14:textId="6E33CE5A" w:rsidR="00FC1AAD" w:rsidRPr="00B30A21" w:rsidRDefault="00ED052F" w:rsidP="00AA2A94">
      <w:pPr>
        <w:pStyle w:val="Heading2"/>
        <w:tabs>
          <w:tab w:val="left" w:pos="9540"/>
        </w:tabs>
      </w:pPr>
      <w:r w:rsidRPr="00B30A21">
        <w:t>Indications</w:t>
      </w:r>
    </w:p>
    <w:p w14:paraId="73235F26" w14:textId="2B2C449E" w:rsidR="004E2D46" w:rsidRPr="00B30A21" w:rsidRDefault="004E2D46" w:rsidP="004E2D46">
      <w:pPr>
        <w:pStyle w:val="BodyText"/>
      </w:pPr>
      <w:r w:rsidRPr="00B30A21">
        <w:t>The indications below including FDA-approved indications and compendial uses are considered a covered benefit provided that all the approval criteria are met and the member has no exclusions to the prescribed therapy.</w:t>
      </w:r>
    </w:p>
    <w:p w14:paraId="134B5687" w14:textId="1EFE46F4" w:rsidR="00ED052F" w:rsidRPr="00B30A21" w:rsidRDefault="00ED052F" w:rsidP="00ED052F">
      <w:pPr>
        <w:pStyle w:val="Heading3"/>
        <w:keepNext w:val="0"/>
      </w:pPr>
      <w:r w:rsidRPr="00B30A21">
        <w:t>FDA-approved Indications</w:t>
      </w:r>
    </w:p>
    <w:p w14:paraId="1F28FB33" w14:textId="77777777" w:rsidR="004E2D46" w:rsidRPr="00B30A21" w:rsidRDefault="004E2D46" w:rsidP="004E2D46">
      <w:pPr>
        <w:pStyle w:val="BodyText"/>
      </w:pPr>
      <w:r w:rsidRPr="00B30A21">
        <w:t>Brukinsa is a kinase inhibitor indicated for the treatment of adult patients with:</w:t>
      </w:r>
    </w:p>
    <w:p w14:paraId="02398642" w14:textId="77777777" w:rsidR="004E2D46" w:rsidRPr="00796727" w:rsidRDefault="004E2D46" w:rsidP="00796727">
      <w:pPr>
        <w:pStyle w:val="ListParagraph"/>
        <w:numPr>
          <w:ilvl w:val="0"/>
          <w:numId w:val="28"/>
        </w:numPr>
      </w:pPr>
      <w:r w:rsidRPr="00796727">
        <w:t>Mantle cell lymphoma (MCL) who have received at least one prior therapy.</w:t>
      </w:r>
    </w:p>
    <w:p w14:paraId="73E04453" w14:textId="77777777" w:rsidR="004E2D46" w:rsidRPr="00796727" w:rsidRDefault="004E2D46" w:rsidP="00796727">
      <w:pPr>
        <w:pStyle w:val="ListParagraph"/>
        <w:numPr>
          <w:ilvl w:val="0"/>
          <w:numId w:val="28"/>
        </w:numPr>
      </w:pPr>
      <w:r w:rsidRPr="00796727">
        <w:t>Waldenstrom’s macroglobulinemia (WM).</w:t>
      </w:r>
    </w:p>
    <w:p w14:paraId="7DAA26C0" w14:textId="77777777" w:rsidR="004E2D46" w:rsidRPr="00796727" w:rsidRDefault="004E2D46" w:rsidP="00796727">
      <w:pPr>
        <w:pStyle w:val="ListParagraph"/>
        <w:numPr>
          <w:ilvl w:val="0"/>
          <w:numId w:val="28"/>
        </w:numPr>
      </w:pPr>
      <w:r w:rsidRPr="00796727">
        <w:t>Relapsed or refractory marginal zone lymphoma (MZL) who have received at least one anti-CD20-based regimen.</w:t>
      </w:r>
    </w:p>
    <w:p w14:paraId="039D9B99" w14:textId="77777777" w:rsidR="004E2D46" w:rsidRPr="00796727" w:rsidRDefault="004E2D46" w:rsidP="00796727">
      <w:pPr>
        <w:pStyle w:val="ListParagraph"/>
        <w:numPr>
          <w:ilvl w:val="0"/>
          <w:numId w:val="28"/>
        </w:numPr>
      </w:pPr>
      <w:r w:rsidRPr="00796727">
        <w:t>Chronic lymphocytic leukemia (CLL) or small lymphocytic lymphoma (SLL)</w:t>
      </w:r>
    </w:p>
    <w:p w14:paraId="5066FC32" w14:textId="77777777" w:rsidR="004E2D46" w:rsidRPr="00796727" w:rsidRDefault="004E2D46" w:rsidP="00796727">
      <w:pPr>
        <w:pStyle w:val="ListParagraph"/>
        <w:numPr>
          <w:ilvl w:val="0"/>
          <w:numId w:val="28"/>
        </w:numPr>
      </w:pPr>
      <w:r w:rsidRPr="00796727">
        <w:t>Relapsed or refractory follicular lymphoma in combination with obinutuzumab, after two or more lines of systemic therapy.</w:t>
      </w:r>
    </w:p>
    <w:p w14:paraId="0B5EC236" w14:textId="6F760DDA" w:rsidR="0044763A" w:rsidRPr="00AF7492" w:rsidRDefault="009F2EF1" w:rsidP="0044763A">
      <w:pPr>
        <w:pStyle w:val="Heading3"/>
      </w:pPr>
      <w:r w:rsidRPr="00B30A21">
        <w:t>Compendial Uses</w:t>
      </w:r>
    </w:p>
    <w:p w14:paraId="4BBD1312" w14:textId="77777777" w:rsidR="004E2D46" w:rsidRPr="00796727" w:rsidRDefault="004E2D46" w:rsidP="00796727">
      <w:pPr>
        <w:pStyle w:val="ListParagraph"/>
        <w:numPr>
          <w:ilvl w:val="0"/>
          <w:numId w:val="29"/>
        </w:numPr>
      </w:pPr>
      <w:r w:rsidRPr="00796727">
        <w:t>Mantle Cell Lymphoma</w:t>
      </w:r>
    </w:p>
    <w:p w14:paraId="2F917BB2" w14:textId="77777777" w:rsidR="004E2D46" w:rsidRPr="00796727" w:rsidRDefault="004E2D46" w:rsidP="00796727">
      <w:pPr>
        <w:pStyle w:val="ListParagraph"/>
        <w:numPr>
          <w:ilvl w:val="0"/>
          <w:numId w:val="29"/>
        </w:numPr>
      </w:pPr>
      <w:r w:rsidRPr="00796727">
        <w:t>Chronic Lymphocytic Leukemia/Small Lymphocytic Lymphoma</w:t>
      </w:r>
    </w:p>
    <w:p w14:paraId="7B43338D" w14:textId="77777777" w:rsidR="004E2D46" w:rsidRPr="00796727" w:rsidRDefault="004E2D46" w:rsidP="00796727">
      <w:pPr>
        <w:pStyle w:val="ListParagraph"/>
        <w:numPr>
          <w:ilvl w:val="0"/>
          <w:numId w:val="29"/>
        </w:numPr>
      </w:pPr>
      <w:r w:rsidRPr="00796727">
        <w:lastRenderedPageBreak/>
        <w:t>Gastric MALT Lymphoma (</w:t>
      </w:r>
      <w:proofErr w:type="spellStart"/>
      <w:r w:rsidRPr="00796727">
        <w:t>Extranodal</w:t>
      </w:r>
      <w:proofErr w:type="spellEnd"/>
      <w:r w:rsidRPr="00796727">
        <w:t xml:space="preserve"> Marginal Zone Lymphoma of the Stomach)/Non-gastric MALT Lymphoma (</w:t>
      </w:r>
      <w:proofErr w:type="spellStart"/>
      <w:r w:rsidRPr="00796727">
        <w:t>Extranodal</w:t>
      </w:r>
      <w:proofErr w:type="spellEnd"/>
      <w:r w:rsidRPr="00796727">
        <w:t xml:space="preserve"> Marginal Zone Lymphoma of </w:t>
      </w:r>
      <w:proofErr w:type="spellStart"/>
      <w:r w:rsidRPr="00796727">
        <w:t>Nongastric</w:t>
      </w:r>
      <w:proofErr w:type="spellEnd"/>
      <w:r w:rsidRPr="00796727">
        <w:t xml:space="preserve"> Sites)</w:t>
      </w:r>
    </w:p>
    <w:p w14:paraId="5C1DAAE5" w14:textId="77777777" w:rsidR="004E2D46" w:rsidRPr="00796727" w:rsidRDefault="004E2D46" w:rsidP="00796727">
      <w:pPr>
        <w:pStyle w:val="ListParagraph"/>
        <w:numPr>
          <w:ilvl w:val="0"/>
          <w:numId w:val="29"/>
        </w:numPr>
      </w:pPr>
      <w:r w:rsidRPr="00796727">
        <w:t>Nodal Marginal Zone Lymphoma</w:t>
      </w:r>
    </w:p>
    <w:p w14:paraId="79320B00" w14:textId="77777777" w:rsidR="004E2D46" w:rsidRPr="00796727" w:rsidRDefault="004E2D46" w:rsidP="00796727">
      <w:pPr>
        <w:pStyle w:val="ListParagraph"/>
        <w:numPr>
          <w:ilvl w:val="0"/>
          <w:numId w:val="29"/>
        </w:numPr>
      </w:pPr>
      <w:r w:rsidRPr="00796727">
        <w:t>Splenic Marginal Zone Lymphoma</w:t>
      </w:r>
    </w:p>
    <w:p w14:paraId="0FDCE9DA" w14:textId="77777777" w:rsidR="004E2D46" w:rsidRPr="00796727" w:rsidRDefault="004E2D46" w:rsidP="00796727">
      <w:pPr>
        <w:pStyle w:val="ListParagraph"/>
        <w:numPr>
          <w:ilvl w:val="0"/>
          <w:numId w:val="29"/>
        </w:numPr>
      </w:pPr>
      <w:r w:rsidRPr="00796727">
        <w:t>Waldenstrom Macroglobulinemia/Lymphoplasmacytic lymphoma/Bing-Neel Syndrome</w:t>
      </w:r>
    </w:p>
    <w:p w14:paraId="29040492" w14:textId="77777777" w:rsidR="004E2D46" w:rsidRPr="00796727" w:rsidRDefault="004E2D46" w:rsidP="00796727">
      <w:pPr>
        <w:pStyle w:val="ListParagraph"/>
        <w:numPr>
          <w:ilvl w:val="0"/>
          <w:numId w:val="29"/>
        </w:numPr>
      </w:pPr>
      <w:r w:rsidRPr="00796727">
        <w:t>Hairy Cell Leukemia</w:t>
      </w:r>
    </w:p>
    <w:p w14:paraId="1A302D9B" w14:textId="77777777" w:rsidR="004E2D46" w:rsidRPr="00796727" w:rsidRDefault="004E2D46" w:rsidP="00796727">
      <w:pPr>
        <w:pStyle w:val="ListParagraph"/>
        <w:numPr>
          <w:ilvl w:val="0"/>
          <w:numId w:val="29"/>
        </w:numPr>
      </w:pPr>
      <w:r w:rsidRPr="00796727">
        <w:t>Follicular Lymphoma</w:t>
      </w:r>
    </w:p>
    <w:p w14:paraId="50B2ED09" w14:textId="04777066" w:rsidR="004E2D46" w:rsidRPr="00B30A21" w:rsidRDefault="004E2D46" w:rsidP="004E2D46">
      <w:pPr>
        <w:pStyle w:val="BodyText"/>
      </w:pPr>
      <w:r w:rsidRPr="00B30A21">
        <w:t>All other indications are considered experimental/investigational and not medically necessary.</w:t>
      </w:r>
    </w:p>
    <w:p w14:paraId="36381B6D" w14:textId="7235A714" w:rsidR="000D2496" w:rsidRPr="00B30A21" w:rsidRDefault="000D2496" w:rsidP="000D2496">
      <w:pPr>
        <w:pStyle w:val="Heading2"/>
        <w:rPr>
          <w:rFonts w:eastAsia="Arial"/>
        </w:rPr>
      </w:pPr>
      <w:r w:rsidRPr="00B30A21">
        <w:t>Documentation</w:t>
      </w:r>
    </w:p>
    <w:p w14:paraId="112974D4" w14:textId="77777777" w:rsidR="004E2D46" w:rsidRPr="00B30A21" w:rsidRDefault="004E2D46" w:rsidP="004E2D46">
      <w:pPr>
        <w:pStyle w:val="BodyText"/>
      </w:pPr>
      <w:r w:rsidRPr="00B30A21">
        <w:t>Submission of the following information is necessary to initiate the prior authorization review:</w:t>
      </w:r>
    </w:p>
    <w:p w14:paraId="6DBA76C9" w14:textId="7E73A8B4" w:rsidR="004E2D46" w:rsidRPr="00B30A21" w:rsidRDefault="004E2D46" w:rsidP="004E2D46">
      <w:pPr>
        <w:pStyle w:val="BodyText"/>
      </w:pPr>
      <w:r w:rsidRPr="00B30A21">
        <w:t>Test results confirming TP53 mutation, where applicable</w:t>
      </w:r>
    </w:p>
    <w:p w14:paraId="50A38FBA" w14:textId="0F57A5FA" w:rsidR="00FE0C63" w:rsidRPr="00B30A21" w:rsidRDefault="00685107" w:rsidP="00E050E1">
      <w:pPr>
        <w:pStyle w:val="Heading2"/>
      </w:pPr>
      <w:r w:rsidRPr="00B30A21">
        <w:t>Coverage Criteria</w:t>
      </w:r>
    </w:p>
    <w:p w14:paraId="23C01BCF" w14:textId="671ACCC0" w:rsidR="004E2D46" w:rsidRPr="00B30A21" w:rsidRDefault="004E2D46" w:rsidP="004E2D46">
      <w:pPr>
        <w:pStyle w:val="Heading3"/>
      </w:pPr>
      <w:r w:rsidRPr="00B30A21">
        <w:t>Mantle Cell Lymphoma</w:t>
      </w:r>
    </w:p>
    <w:p w14:paraId="1BF790F8" w14:textId="77777777" w:rsidR="004E2D46" w:rsidRPr="00B30A21" w:rsidRDefault="004E2D46" w:rsidP="004E2D46">
      <w:pPr>
        <w:pStyle w:val="BodyText"/>
      </w:pPr>
      <w:r w:rsidRPr="00B30A21">
        <w:t>Authorization of 12 months may be granted for treatment of mantle cell lymphoma when any of the following criteria are met:</w:t>
      </w:r>
    </w:p>
    <w:p w14:paraId="0381397D" w14:textId="3087171A" w:rsidR="004E2D46" w:rsidRPr="00796727" w:rsidRDefault="004E2D46" w:rsidP="00796727">
      <w:pPr>
        <w:pStyle w:val="ListParagraph"/>
        <w:numPr>
          <w:ilvl w:val="0"/>
          <w:numId w:val="30"/>
        </w:numPr>
      </w:pPr>
      <w:r w:rsidRPr="00796727">
        <w:t>The requested medication will be used as a single agent when the member has received at least one prior therapy.</w:t>
      </w:r>
    </w:p>
    <w:p w14:paraId="0F871727" w14:textId="77777777" w:rsidR="004E2D46" w:rsidRPr="00796727" w:rsidRDefault="004E2D46" w:rsidP="00796727">
      <w:pPr>
        <w:pStyle w:val="ListParagraph"/>
        <w:numPr>
          <w:ilvl w:val="0"/>
          <w:numId w:val="30"/>
        </w:numPr>
      </w:pPr>
      <w:r w:rsidRPr="00796727">
        <w:t>The requested medication will be used as a component of TRIANGLE regimen for members with TP53 mutations for induction therapy.</w:t>
      </w:r>
    </w:p>
    <w:p w14:paraId="4C8FE31F" w14:textId="77777777" w:rsidR="004E2D46" w:rsidRPr="00796727" w:rsidRDefault="004E2D46" w:rsidP="00440858">
      <w:pPr>
        <w:ind w:left="720"/>
      </w:pPr>
      <w:r w:rsidRPr="00796727">
        <w:t>TRIANGLE regimen = alternating RCHOP (rituximab, cyclophosphamide, doxorubicin, vincristine, and prednisone) + Brukinsa/RDHAP (rituximab, dexamethasone, and cytarabine) + platinum (carboplatin, cisplatin, or oxaliplatin) regimen</w:t>
      </w:r>
    </w:p>
    <w:p w14:paraId="4708FFB1" w14:textId="498E0B86" w:rsidR="004E2D46" w:rsidRPr="00796727" w:rsidRDefault="004E2D46" w:rsidP="00796727">
      <w:pPr>
        <w:pStyle w:val="ListParagraph"/>
        <w:numPr>
          <w:ilvl w:val="0"/>
          <w:numId w:val="30"/>
        </w:numPr>
      </w:pPr>
      <w:r w:rsidRPr="00796727">
        <w:t>The requested medication will be used in combination with rituximab for pre-induction therapy or maintenance therapy.</w:t>
      </w:r>
    </w:p>
    <w:p w14:paraId="3F460490" w14:textId="77777777" w:rsidR="004E2D46" w:rsidRPr="00796727" w:rsidRDefault="004E2D46" w:rsidP="00796727">
      <w:pPr>
        <w:pStyle w:val="ListParagraph"/>
        <w:numPr>
          <w:ilvl w:val="0"/>
          <w:numId w:val="30"/>
        </w:numPr>
      </w:pPr>
      <w:r w:rsidRPr="00796727">
        <w:t>The requested medication will be used as induction therapy for TP53 mutated disease and in combination with Venclexta (venetoclax) and Gazyva (obinutuzumab)</w:t>
      </w:r>
    </w:p>
    <w:p w14:paraId="6F34740F" w14:textId="03B0D8F5" w:rsidR="004E2D46" w:rsidRPr="00B30A21" w:rsidRDefault="004E2D46" w:rsidP="004E2D46">
      <w:pPr>
        <w:pStyle w:val="Heading3"/>
      </w:pPr>
      <w:r w:rsidRPr="00B30A21">
        <w:t>Chronic Lymphocytic Leukemia (CLL)/Small Lymphocytic Lymphoma (SLL)</w:t>
      </w:r>
    </w:p>
    <w:p w14:paraId="4A555F28" w14:textId="77777777" w:rsidR="004E2D46" w:rsidRDefault="004E2D46" w:rsidP="00A90709">
      <w:pPr>
        <w:pStyle w:val="BodyText"/>
        <w:numPr>
          <w:ilvl w:val="0"/>
          <w:numId w:val="31"/>
        </w:numPr>
      </w:pPr>
      <w:r w:rsidRPr="00B30A21">
        <w:t>Authorization of 12 months may be granted for treatment of CLL/SLL when used as a single agent.</w:t>
      </w:r>
    </w:p>
    <w:p w14:paraId="6C5F0F31" w14:textId="55812941" w:rsidR="00A90709" w:rsidRPr="00A90709" w:rsidRDefault="00A90709" w:rsidP="00BD5F5C">
      <w:pPr>
        <w:pStyle w:val="ListParagraph"/>
        <w:numPr>
          <w:ilvl w:val="0"/>
          <w:numId w:val="31"/>
        </w:numPr>
      </w:pPr>
      <w:r>
        <w:lastRenderedPageBreak/>
        <w:t xml:space="preserve">Authorization of 12 months may be granted for treatment of </w:t>
      </w:r>
      <w:r w:rsidRPr="00A90709">
        <w:rPr>
          <w:color w:val="auto"/>
        </w:rPr>
        <w:t>Histologic (Richter) transformation to diffuse large B-cell lymphoma</w:t>
      </w:r>
      <w:r>
        <w:rPr>
          <w:color w:val="auto"/>
        </w:rPr>
        <w:t xml:space="preserve"> in combination with tislelizumab. </w:t>
      </w:r>
    </w:p>
    <w:p w14:paraId="6495CA3B" w14:textId="77777777" w:rsidR="00A90709" w:rsidRPr="00B30A21" w:rsidRDefault="00A90709" w:rsidP="004E2D46">
      <w:pPr>
        <w:pStyle w:val="BodyText"/>
      </w:pPr>
    </w:p>
    <w:p w14:paraId="018D246E" w14:textId="23D5DAEC" w:rsidR="004E2D46" w:rsidRPr="00B30A21" w:rsidRDefault="004E2D46" w:rsidP="004E2D46">
      <w:pPr>
        <w:pStyle w:val="Heading3"/>
      </w:pPr>
      <w:r w:rsidRPr="00B30A21">
        <w:t>Marginal Zone Lymphoma</w:t>
      </w:r>
    </w:p>
    <w:p w14:paraId="1EBB4397" w14:textId="77777777" w:rsidR="004E2D46" w:rsidRPr="00B30A21" w:rsidRDefault="004E2D46" w:rsidP="004E2D46">
      <w:pPr>
        <w:pStyle w:val="BodyText"/>
      </w:pPr>
      <w:r w:rsidRPr="00B30A21">
        <w:t>Authorization of 12 months may be granted for treatment of marginal zone lymphoma, including gastric MALT lymphoma (</w:t>
      </w:r>
      <w:proofErr w:type="spellStart"/>
      <w:r w:rsidRPr="00B30A21">
        <w:t>extranodal</w:t>
      </w:r>
      <w:proofErr w:type="spellEnd"/>
      <w:r w:rsidRPr="00B30A21">
        <w:t xml:space="preserve"> marginal zone lymphoma of the stomach), non-gastric MALT lymphoma (</w:t>
      </w:r>
      <w:proofErr w:type="spellStart"/>
      <w:r w:rsidRPr="00B30A21">
        <w:t>extranodal</w:t>
      </w:r>
      <w:proofErr w:type="spellEnd"/>
      <w:r w:rsidRPr="00B30A21">
        <w:t xml:space="preserve"> marginal zone lymphoma of </w:t>
      </w:r>
      <w:proofErr w:type="spellStart"/>
      <w:r w:rsidRPr="00B30A21">
        <w:t>nongastric</w:t>
      </w:r>
      <w:proofErr w:type="spellEnd"/>
      <w:r w:rsidRPr="00B30A21">
        <w:t xml:space="preserve"> sites), nodal marginal zone lymphoma and splenic marginal zone lymphoma, when used as subsequent therapy for members who have received an anti-CD20 based-regimen (e.g., rituximab or obinutuzumab).</w:t>
      </w:r>
    </w:p>
    <w:p w14:paraId="14C30F19" w14:textId="40D5CA94" w:rsidR="004E2D46" w:rsidRPr="00B30A21" w:rsidRDefault="004E2D46" w:rsidP="004E2D46">
      <w:pPr>
        <w:pStyle w:val="Heading3"/>
      </w:pPr>
      <w:proofErr w:type="spellStart"/>
      <w:r w:rsidRPr="00B30A21">
        <w:t>Waldenstrom</w:t>
      </w:r>
      <w:proofErr w:type="spellEnd"/>
      <w:r w:rsidRPr="00B30A21">
        <w:t xml:space="preserve"> Macroglobulinemia/Lymphoplasmacytic Lymphoma/Bing-Neel Syndrome</w:t>
      </w:r>
    </w:p>
    <w:p w14:paraId="1A26E958" w14:textId="77777777" w:rsidR="004E2D46" w:rsidRPr="00B30A21" w:rsidRDefault="004E2D46" w:rsidP="004E2D46">
      <w:pPr>
        <w:pStyle w:val="BodyText"/>
      </w:pPr>
      <w:r w:rsidRPr="00B30A21">
        <w:t>Authorization of 12 months may be granted for treatment of Waldenstrom macroglobulinemia/Lymphoplasmacytic lymphoma when used as a single agent or for the treatment of Bing-Neel syndrome when used as a single agent or in combination with rituximab.</w:t>
      </w:r>
    </w:p>
    <w:p w14:paraId="676E40A1" w14:textId="05E90A5E" w:rsidR="004E2D46" w:rsidRPr="00B30A21" w:rsidRDefault="004E2D46" w:rsidP="004E2D46">
      <w:pPr>
        <w:pStyle w:val="Heading3"/>
      </w:pPr>
      <w:r w:rsidRPr="00B30A21">
        <w:t>Hairy Cell Leukemia</w:t>
      </w:r>
    </w:p>
    <w:p w14:paraId="1EFA5B3B" w14:textId="0BB24199" w:rsidR="004E2D46" w:rsidRPr="00B30A21" w:rsidRDefault="004E2D46" w:rsidP="004E2D46">
      <w:pPr>
        <w:pStyle w:val="BodyText"/>
      </w:pPr>
      <w:r w:rsidRPr="00B30A21">
        <w:t>Authorization of 12 months may be granted for treatment of hairy cell leukemia when both of the following criteria are met:</w:t>
      </w:r>
    </w:p>
    <w:p w14:paraId="56092BD3" w14:textId="77777777" w:rsidR="00C823E0" w:rsidRPr="00B30A21" w:rsidRDefault="00C823E0" w:rsidP="00C823E0">
      <w:pPr>
        <w:pStyle w:val="ListParagraph"/>
      </w:pPr>
      <w:r w:rsidRPr="00B30A21">
        <w:t>The member had disease progression after receiving therapy for relapsed or refractory disease.</w:t>
      </w:r>
    </w:p>
    <w:p w14:paraId="602D0D16" w14:textId="35AC9B40" w:rsidR="00C823E0" w:rsidRPr="00B30A21" w:rsidRDefault="00C823E0" w:rsidP="00C823E0">
      <w:pPr>
        <w:pStyle w:val="ListParagraph"/>
      </w:pPr>
      <w:r w:rsidRPr="00B30A21">
        <w:t>The requested medication will be used as a single agent.</w:t>
      </w:r>
    </w:p>
    <w:p w14:paraId="00C5D9AC" w14:textId="199F0E01" w:rsidR="00C823E0" w:rsidRPr="00B30A21" w:rsidRDefault="00C823E0" w:rsidP="00C823E0">
      <w:pPr>
        <w:pStyle w:val="Heading3"/>
      </w:pPr>
      <w:r w:rsidRPr="00B30A21">
        <w:t>Follicular Lymphoma</w:t>
      </w:r>
    </w:p>
    <w:p w14:paraId="32E8BE2D" w14:textId="413C4B10" w:rsidR="004E2D46" w:rsidRPr="00B30A21" w:rsidRDefault="00C823E0" w:rsidP="00C823E0">
      <w:pPr>
        <w:pStyle w:val="BodyText"/>
      </w:pPr>
      <w:r w:rsidRPr="00B30A21">
        <w:t>Authorization of 12 months may be granted as third line and subsequent therapy in combination with obinutuzumab (Gazyva) for treatment of follicular lymphoma.</w:t>
      </w:r>
    </w:p>
    <w:p w14:paraId="3A643EC3" w14:textId="695CEDAB" w:rsidR="00A501AC" w:rsidRPr="00B30A21" w:rsidRDefault="00A501AC" w:rsidP="00A501AC">
      <w:pPr>
        <w:pStyle w:val="Heading2"/>
      </w:pPr>
      <w:r w:rsidRPr="00B30A21">
        <w:t>Continuation of Therapy</w:t>
      </w:r>
    </w:p>
    <w:p w14:paraId="4054091B" w14:textId="2D5894BA" w:rsidR="00257A8C" w:rsidRDefault="00C823E0" w:rsidP="00257A8C">
      <w:pPr>
        <w:pStyle w:val="BodyText"/>
      </w:pPr>
      <w:r w:rsidRPr="00B30A21">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3A4E644F" w:rsidR="00FF66BF" w:rsidRPr="00B30A21" w:rsidRDefault="00FF66BF" w:rsidP="00257A8C">
      <w:pPr>
        <w:pStyle w:val="Heading2"/>
      </w:pPr>
      <w:r w:rsidRPr="00B30A21">
        <w:lastRenderedPageBreak/>
        <w:t>References</w:t>
      </w:r>
    </w:p>
    <w:p w14:paraId="219AA9D4" w14:textId="77777777" w:rsidR="00C823E0" w:rsidRPr="00B30A21" w:rsidRDefault="00C823E0" w:rsidP="00C823E0">
      <w:pPr>
        <w:pStyle w:val="ReferenceOrdered"/>
        <w:rPr>
          <w:lang w:val="it-IT"/>
        </w:rPr>
      </w:pPr>
      <w:r w:rsidRPr="00B30A21">
        <w:rPr>
          <w:lang w:val="it-IT"/>
        </w:rPr>
        <w:t>Brukinsa [package insert]. San Mateo, CA: BeiGene USA, Inc.; June 2024.</w:t>
      </w:r>
    </w:p>
    <w:p w14:paraId="45720055" w14:textId="5CA86E14" w:rsidR="00C823E0" w:rsidRPr="00B30A21" w:rsidRDefault="00C823E0" w:rsidP="00C823E0">
      <w:pPr>
        <w:pStyle w:val="ReferenceOrdered"/>
      </w:pPr>
      <w:r w:rsidRPr="00B30A21">
        <w:t xml:space="preserve">The NCCN Drugs &amp; Biologics Compendium® © 2024 National Comprehensive Cancer Network, Inc. Available at: http://www.nccn.org. Accessed </w:t>
      </w:r>
      <w:r w:rsidR="001618EA">
        <w:t>November 1</w:t>
      </w:r>
      <w:r w:rsidRPr="00B30A21">
        <w:t>, 2024.</w:t>
      </w:r>
    </w:p>
    <w:p w14:paraId="4183A04F" w14:textId="77777777" w:rsidR="00C823E0" w:rsidRPr="00B30A21" w:rsidRDefault="00C823E0" w:rsidP="00C823E0">
      <w:pPr>
        <w:pStyle w:val="ReferenceOrdered"/>
      </w:pPr>
      <w:r w:rsidRPr="00B30A21">
        <w:t>Eskelund CW, Dahl C, Hansen JW, et al. TP53 mutations identify younger mantle cell lymphoma patients who do not benefit from intensive chemoimmunotherapy. Blood. 2017;130(17):1903-1910.</w:t>
      </w:r>
    </w:p>
    <w:p w14:paraId="47E1A10C" w14:textId="14D71075" w:rsidR="00C44990" w:rsidRPr="00AF7492" w:rsidRDefault="00C44990" w:rsidP="00AF7492">
      <w:pPr>
        <w:pStyle w:val="BodyText"/>
      </w:pPr>
    </w:p>
    <w:sectPr w:rsidR="00C44990" w:rsidRPr="00AF7492"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27CC7" w14:textId="77777777" w:rsidR="00422E7A" w:rsidRDefault="00422E7A">
      <w:r>
        <w:separator/>
      </w:r>
    </w:p>
  </w:endnote>
  <w:endnote w:type="continuationSeparator" w:id="0">
    <w:p w14:paraId="473FFE71" w14:textId="77777777" w:rsidR="00422E7A" w:rsidRDefault="00422E7A">
      <w:r>
        <w:continuationSeparator/>
      </w:r>
    </w:p>
  </w:endnote>
  <w:endnote w:type="continuationNotice" w:id="1">
    <w:p w14:paraId="12F94C8E" w14:textId="77777777" w:rsidR="00422E7A" w:rsidRDefault="00422E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59CA" w14:textId="77777777" w:rsidR="00CA46B8" w:rsidRDefault="00CA46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AF1023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40E82">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CA46B8" w:rsidRPr="00CA46B8">
      <w:rPr>
        <w:rFonts w:cs="Arial"/>
        <w:noProof/>
        <w:sz w:val="16"/>
        <w:szCs w:val="16"/>
        <w:lang w:val="it-IT"/>
      </w:rPr>
      <w:t>Brukinsa</w:t>
    </w:r>
    <w:r w:rsidR="00CA46B8">
      <w:rPr>
        <w:rFonts w:cs="Arial"/>
        <w:noProof/>
        <w:snapToGrid w:val="0"/>
        <w:color w:val="000000"/>
        <w:sz w:val="16"/>
        <w:szCs w:val="16"/>
        <w:lang w:val="it-IT"/>
      </w:rPr>
      <w:t xml:space="preserve"> SGM 3411-A</w:t>
    </w:r>
    <w:r w:rsidR="00CA46B8" w:rsidRPr="00CA46B8">
      <w:rPr>
        <w:rFonts w:cs="Arial"/>
        <w:noProof/>
        <w:sz w:val="16"/>
        <w:szCs w:val="16"/>
        <w:lang w:val="it-IT"/>
      </w:rPr>
      <w:t xml:space="preserve"> P2024a</w:t>
    </w:r>
    <w:r w:rsidR="00CA46B8">
      <w:rPr>
        <w:rFonts w:cs="Arial"/>
        <w:noProof/>
        <w:snapToGrid w:val="0"/>
        <w:color w:val="000000"/>
        <w:sz w:val="16"/>
        <w:szCs w:val="16"/>
        <w:lang w:val="it-IT"/>
      </w:rPr>
      <w:t>_R.docx</w:t>
    </w:r>
    <w:r w:rsidRPr="00EC47B6">
      <w:rPr>
        <w:rFonts w:cs="Arial"/>
        <w:noProof/>
        <w:sz w:val="16"/>
        <w:szCs w:val="16"/>
      </w:rPr>
      <w:fldChar w:fldCharType="end"/>
    </w:r>
    <w:r w:rsidRPr="00940E82">
      <w:rPr>
        <w:rFonts w:cs="Arial"/>
        <w:snapToGrid w:val="0"/>
        <w:color w:val="000000"/>
        <w:sz w:val="16"/>
        <w:lang w:val="it-IT"/>
      </w:rPr>
      <w:tab/>
      <w:t xml:space="preserve">© </w:t>
    </w:r>
    <w:r w:rsidRPr="00940E82">
      <w:rPr>
        <w:rFonts w:cs="Arial"/>
        <w:snapToGrid w:val="0"/>
        <w:color w:val="000000"/>
        <w:sz w:val="16"/>
        <w:lang w:val="it-IT"/>
      </w:rPr>
      <w:t>202</w:t>
    </w:r>
    <w:r w:rsidR="008B6DBE" w:rsidRPr="00940E82">
      <w:rPr>
        <w:rFonts w:cs="Arial"/>
        <w:snapToGrid w:val="0"/>
        <w:color w:val="000000"/>
        <w:sz w:val="16"/>
        <w:lang w:val="it-IT"/>
      </w:rPr>
      <w:t>4</w:t>
    </w:r>
    <w:r w:rsidRPr="00940E82">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4ABA4D8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3A0611C" w:rsidR="00F75C81" w:rsidRPr="00AF7492" w:rsidRDefault="00C36B72" w:rsidP="00AF749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3C5ECB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40E82">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CA46B8" w:rsidRPr="00CA46B8">
      <w:rPr>
        <w:rFonts w:cs="Arial"/>
        <w:noProof/>
        <w:sz w:val="16"/>
        <w:szCs w:val="16"/>
        <w:lang w:val="it-IT"/>
      </w:rPr>
      <w:t>Brukinsa</w:t>
    </w:r>
    <w:r w:rsidR="00CA46B8">
      <w:rPr>
        <w:rFonts w:cs="Arial"/>
        <w:noProof/>
        <w:snapToGrid w:val="0"/>
        <w:color w:val="000000"/>
        <w:sz w:val="16"/>
        <w:szCs w:val="16"/>
        <w:lang w:val="it-IT"/>
      </w:rPr>
      <w:t xml:space="preserve"> SGM 3411-A</w:t>
    </w:r>
    <w:r w:rsidR="00CA46B8" w:rsidRPr="00CA46B8">
      <w:rPr>
        <w:rFonts w:cs="Arial"/>
        <w:noProof/>
        <w:sz w:val="16"/>
        <w:szCs w:val="16"/>
        <w:lang w:val="it-IT"/>
      </w:rPr>
      <w:t xml:space="preserve"> P2024a</w:t>
    </w:r>
    <w:r w:rsidR="00CA46B8">
      <w:rPr>
        <w:rFonts w:cs="Arial"/>
        <w:noProof/>
        <w:snapToGrid w:val="0"/>
        <w:color w:val="000000"/>
        <w:sz w:val="16"/>
        <w:szCs w:val="16"/>
        <w:lang w:val="it-IT"/>
      </w:rPr>
      <w:t>_R.docx</w:t>
    </w:r>
    <w:r w:rsidRPr="00EC47B6">
      <w:rPr>
        <w:rFonts w:cs="Arial"/>
        <w:noProof/>
        <w:sz w:val="16"/>
        <w:szCs w:val="16"/>
      </w:rPr>
      <w:fldChar w:fldCharType="end"/>
    </w:r>
    <w:r w:rsidRPr="00940E82">
      <w:rPr>
        <w:rFonts w:cs="Arial"/>
        <w:snapToGrid w:val="0"/>
        <w:color w:val="000000"/>
        <w:sz w:val="16"/>
        <w:lang w:val="it-IT"/>
      </w:rPr>
      <w:tab/>
      <w:t xml:space="preserve">© </w:t>
    </w:r>
    <w:r w:rsidRPr="00940E82">
      <w:rPr>
        <w:rFonts w:cs="Arial"/>
        <w:snapToGrid w:val="0"/>
        <w:color w:val="000000"/>
        <w:sz w:val="16"/>
        <w:lang w:val="it-IT"/>
      </w:rPr>
      <w:t>202</w:t>
    </w:r>
    <w:r w:rsidR="00D74279" w:rsidRPr="00940E82">
      <w:rPr>
        <w:rFonts w:cs="Arial"/>
        <w:snapToGrid w:val="0"/>
        <w:color w:val="000000"/>
        <w:sz w:val="16"/>
        <w:lang w:val="it-IT"/>
      </w:rPr>
      <w:t>4</w:t>
    </w:r>
    <w:r w:rsidRPr="00940E82">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451CFE9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CFE5C04" w:rsidR="00ED04EC" w:rsidRPr="00AF7492" w:rsidRDefault="00F50D98" w:rsidP="00AF749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4F13A" w14:textId="77777777" w:rsidR="00422E7A" w:rsidRDefault="00422E7A">
      <w:r>
        <w:separator/>
      </w:r>
    </w:p>
  </w:footnote>
  <w:footnote w:type="continuationSeparator" w:id="0">
    <w:p w14:paraId="797A47FF" w14:textId="77777777" w:rsidR="00422E7A" w:rsidRDefault="00422E7A">
      <w:r>
        <w:continuationSeparator/>
      </w:r>
    </w:p>
  </w:footnote>
  <w:footnote w:type="continuationNotice" w:id="1">
    <w:p w14:paraId="365550FF" w14:textId="77777777" w:rsidR="00422E7A" w:rsidRDefault="00422E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5A4C7" w14:textId="77777777" w:rsidR="00CA46B8" w:rsidRDefault="00CA4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B30A21" w14:paraId="16262E63" w14:textId="77777777">
      <w:trPr>
        <w:trHeight w:val="144"/>
        <w:jc w:val="right"/>
      </w:trPr>
      <w:tc>
        <w:tcPr>
          <w:tcW w:w="1854" w:type="dxa"/>
          <w:hideMark/>
        </w:tcPr>
        <w:p w14:paraId="18F550B7" w14:textId="77777777" w:rsidR="00ED04EC" w:rsidRPr="00B30A21" w:rsidRDefault="00ED04EC" w:rsidP="00ED04EC">
          <w:pPr>
            <w:pStyle w:val="Header"/>
            <w:rPr>
              <w:rFonts w:cs="Arial"/>
              <w:sz w:val="16"/>
              <w:szCs w:val="16"/>
            </w:rPr>
          </w:pPr>
          <w:r w:rsidRPr="00B30A21">
            <w:rPr>
              <w:rFonts w:cs="Arial"/>
              <w:sz w:val="16"/>
              <w:szCs w:val="16"/>
            </w:rPr>
            <w:t>Reference number(s)</w:t>
          </w:r>
        </w:p>
      </w:tc>
    </w:tr>
    <w:tr w:rsidR="00ED04EC" w:rsidRPr="00B30A21" w14:paraId="703C6588" w14:textId="77777777">
      <w:trPr>
        <w:trHeight w:val="378"/>
        <w:jc w:val="right"/>
      </w:trPr>
      <w:tc>
        <w:tcPr>
          <w:tcW w:w="1854" w:type="dxa"/>
          <w:hideMark/>
        </w:tcPr>
        <w:p w14:paraId="51CE3E64" w14:textId="6CB5ABCE" w:rsidR="00ED04EC" w:rsidRPr="00B30A21" w:rsidRDefault="004E2D46" w:rsidP="00ED04EC">
          <w:pPr>
            <w:pStyle w:val="Header"/>
            <w:rPr>
              <w:rFonts w:cs="Arial"/>
              <w:sz w:val="16"/>
              <w:szCs w:val="16"/>
            </w:rPr>
          </w:pPr>
          <w:r w:rsidRPr="00B30A21">
            <w:rPr>
              <w:rFonts w:cs="Arial"/>
              <w:sz w:val="16"/>
              <w:szCs w:val="16"/>
            </w:rPr>
            <w:t>3411</w:t>
          </w:r>
          <w:r w:rsidR="00B30A21" w:rsidRPr="00B30A21">
            <w:rPr>
              <w:rFonts w:cs="Arial"/>
              <w:sz w:val="16"/>
              <w:szCs w:val="16"/>
            </w:rPr>
            <w:t>-</w:t>
          </w:r>
          <w:r w:rsidRPr="00B30A21">
            <w:rPr>
              <w:rFonts w:cs="Arial"/>
              <w:sz w:val="16"/>
              <w:szCs w:val="16"/>
            </w:rPr>
            <w:t>A</w:t>
          </w:r>
        </w:p>
      </w:tc>
    </w:tr>
  </w:tbl>
  <w:p w14:paraId="0D5ACCC2" w14:textId="462A1075" w:rsidR="00ED04EC" w:rsidRPr="00B30A21"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E7E7" w14:textId="77777777" w:rsidR="00CA46B8" w:rsidRDefault="00CA4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4C19E4"/>
    <w:multiLevelType w:val="hybridMultilevel"/>
    <w:tmpl w:val="C9B81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E805034"/>
    <w:multiLevelType w:val="hybridMultilevel"/>
    <w:tmpl w:val="38DE0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BD112A"/>
    <w:multiLevelType w:val="hybridMultilevel"/>
    <w:tmpl w:val="4478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5C7D35"/>
    <w:multiLevelType w:val="hybridMultilevel"/>
    <w:tmpl w:val="77AA3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9"/>
  </w:num>
  <w:num w:numId="18" w16cid:durableId="299724409">
    <w:abstractNumId w:val="24"/>
  </w:num>
  <w:num w:numId="19" w16cid:durableId="214585573">
    <w:abstractNumId w:val="14"/>
  </w:num>
  <w:num w:numId="20" w16cid:durableId="1289816170">
    <w:abstractNumId w:val="16"/>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7"/>
  </w:num>
  <w:num w:numId="26" w16cid:durableId="1950313333">
    <w:abstractNumId w:val="20"/>
  </w:num>
  <w:num w:numId="27" w16cid:durableId="1866016584">
    <w:abstractNumId w:val="19"/>
  </w:num>
  <w:num w:numId="28" w16cid:durableId="419523033">
    <w:abstractNumId w:val="11"/>
  </w:num>
  <w:num w:numId="29" w16cid:durableId="1061904087">
    <w:abstractNumId w:val="15"/>
  </w:num>
  <w:num w:numId="30" w16cid:durableId="402217014">
    <w:abstractNumId w:val="23"/>
  </w:num>
  <w:num w:numId="31" w16cid:durableId="105211841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33"/>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61EB"/>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18EA"/>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57A8C"/>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2E7B"/>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6F40"/>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0"/>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BC1"/>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38FE"/>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2E7A"/>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858"/>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4F0"/>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2D46"/>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0DEF"/>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27"/>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DFB"/>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0E82"/>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EA5"/>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47D"/>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0709"/>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492"/>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A21"/>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5F5C"/>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23E0"/>
    <w:rsid w:val="00C83E90"/>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97FCD"/>
    <w:rsid w:val="00CA0DA0"/>
    <w:rsid w:val="00CA1308"/>
    <w:rsid w:val="00CA1531"/>
    <w:rsid w:val="00CA156C"/>
    <w:rsid w:val="00CA1C61"/>
    <w:rsid w:val="00CA1FC9"/>
    <w:rsid w:val="00CA22D7"/>
    <w:rsid w:val="00CA273C"/>
    <w:rsid w:val="00CA4298"/>
    <w:rsid w:val="00CA43AA"/>
    <w:rsid w:val="00CA46B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6E57"/>
    <w:rsid w:val="00CE71E6"/>
    <w:rsid w:val="00CE7284"/>
    <w:rsid w:val="00CE72B8"/>
    <w:rsid w:val="00CE76BE"/>
    <w:rsid w:val="00CF08AB"/>
    <w:rsid w:val="00CF0FEE"/>
    <w:rsid w:val="00CF2208"/>
    <w:rsid w:val="00CF2D11"/>
    <w:rsid w:val="00CF2EA8"/>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EF8"/>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B2C"/>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329"/>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895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598004-0F6F-45B4-A020-BA6814FB729B}"/>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Brukinsa 3411-A SGM 2024</vt:lpstr>
    </vt:vector>
  </TitlesOfParts>
  <Company>PCS Health Systems</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Brukinsa 3411-A SGM 2024</dc:title>
  <dc:subject/>
  <dc:creator>CVS Caremark</dc:creator>
  <cp:keywords/>
  <cp:lastModifiedBy>Preston, Krystal M</cp:lastModifiedBy>
  <cp:revision>3</cp:revision>
  <cp:lastPrinted>2018-01-09T11:01:00Z</cp:lastPrinted>
  <dcterms:created xsi:type="dcterms:W3CDTF">2024-12-04T21:30:00Z</dcterms:created>
  <dcterms:modified xsi:type="dcterms:W3CDTF">2024-12-04T21:30:00Z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